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890" w:type="pct"/>
        <w:tblInd w:w="0" w:type="dxa"/>
        <w:tblLayout w:type="fixed"/>
        <w:tblCellMar>
          <w:top w:w="0" w:type="dxa"/>
          <w:left w:w="108" w:type="dxa"/>
          <w:bottom w:w="0" w:type="dxa"/>
          <w:right w:w="108" w:type="dxa"/>
        </w:tblCellMar>
      </w:tblPr>
      <w:tblGrid>
        <w:gridCol w:w="1040"/>
        <w:gridCol w:w="2189"/>
        <w:gridCol w:w="1152"/>
        <w:gridCol w:w="1358"/>
        <w:gridCol w:w="1613"/>
        <w:gridCol w:w="1407"/>
        <w:gridCol w:w="984"/>
      </w:tblGrid>
      <w:tr w14:paraId="0233E55B">
        <w:tblPrEx>
          <w:tblCellMar>
            <w:top w:w="0" w:type="dxa"/>
            <w:left w:w="108" w:type="dxa"/>
            <w:bottom w:w="0" w:type="dxa"/>
            <w:right w:w="108" w:type="dxa"/>
          </w:tblCellMar>
        </w:tblPrEx>
        <w:trPr>
          <w:trHeight w:val="663" w:hRule="atLeast"/>
        </w:trPr>
        <w:tc>
          <w:tcPr>
            <w:tcW w:w="533" w:type="pct"/>
            <w:tcBorders>
              <w:top w:val="single" w:color="auto" w:sz="4" w:space="0"/>
              <w:left w:val="single" w:color="auto" w:sz="4" w:space="0"/>
              <w:bottom w:val="single" w:color="auto" w:sz="4" w:space="0"/>
              <w:right w:val="single" w:color="auto" w:sz="4" w:space="0"/>
            </w:tcBorders>
            <w:noWrap w:val="0"/>
            <w:vAlign w:val="center"/>
          </w:tcPr>
          <w:p w14:paraId="5051AE45">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23" w:type="pct"/>
            <w:tcBorders>
              <w:top w:val="single" w:color="auto" w:sz="4" w:space="0"/>
              <w:left w:val="nil"/>
              <w:bottom w:val="single" w:color="auto" w:sz="4" w:space="0"/>
              <w:right w:val="single" w:color="auto" w:sz="4" w:space="0"/>
            </w:tcBorders>
            <w:noWrap w:val="0"/>
            <w:vAlign w:val="center"/>
          </w:tcPr>
          <w:p w14:paraId="5C56BD5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90" w:type="pct"/>
            <w:tcBorders>
              <w:top w:val="single" w:color="auto" w:sz="4" w:space="0"/>
              <w:left w:val="nil"/>
              <w:bottom w:val="single" w:color="auto" w:sz="4" w:space="0"/>
              <w:right w:val="single" w:color="auto" w:sz="4" w:space="0"/>
            </w:tcBorders>
            <w:noWrap w:val="0"/>
            <w:vAlign w:val="center"/>
          </w:tcPr>
          <w:p w14:paraId="3C87B45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用途</w:t>
            </w:r>
          </w:p>
        </w:tc>
        <w:tc>
          <w:tcPr>
            <w:tcW w:w="697" w:type="pct"/>
            <w:tcBorders>
              <w:top w:val="single" w:color="auto" w:sz="4" w:space="0"/>
              <w:left w:val="nil"/>
              <w:bottom w:val="single" w:color="auto" w:sz="4" w:space="0"/>
              <w:right w:val="single" w:color="auto" w:sz="4" w:space="0"/>
            </w:tcBorders>
            <w:noWrap w:val="0"/>
            <w:vAlign w:val="center"/>
          </w:tcPr>
          <w:p w14:paraId="07E9005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面积（平方米）</w:t>
            </w:r>
          </w:p>
        </w:tc>
        <w:tc>
          <w:tcPr>
            <w:tcW w:w="827" w:type="pct"/>
            <w:tcBorders>
              <w:top w:val="single" w:color="auto" w:sz="4" w:space="0"/>
              <w:left w:val="nil"/>
              <w:bottom w:val="single" w:color="auto" w:sz="4" w:space="0"/>
              <w:right w:val="single" w:color="auto" w:sz="4" w:space="0"/>
            </w:tcBorders>
            <w:noWrap w:val="0"/>
            <w:vAlign w:val="center"/>
          </w:tcPr>
          <w:p w14:paraId="236538C5">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722" w:type="pct"/>
            <w:tcBorders>
              <w:top w:val="single" w:color="auto" w:sz="4" w:space="0"/>
              <w:left w:val="nil"/>
              <w:bottom w:val="single" w:color="auto" w:sz="4" w:space="0"/>
              <w:right w:val="single" w:color="auto" w:sz="4" w:space="0"/>
            </w:tcBorders>
            <w:noWrap w:val="0"/>
            <w:vAlign w:val="center"/>
          </w:tcPr>
          <w:p w14:paraId="0A64734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04" w:type="pct"/>
            <w:tcBorders>
              <w:top w:val="single" w:color="auto" w:sz="4" w:space="0"/>
              <w:left w:val="nil"/>
              <w:bottom w:val="single" w:color="auto" w:sz="4" w:space="0"/>
              <w:right w:val="single" w:color="auto" w:sz="4" w:space="0"/>
            </w:tcBorders>
            <w:noWrap/>
            <w:vAlign w:val="center"/>
          </w:tcPr>
          <w:p w14:paraId="70F8855C">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2F1B0ADA">
        <w:tblPrEx>
          <w:tblCellMar>
            <w:top w:w="0" w:type="dxa"/>
            <w:left w:w="108" w:type="dxa"/>
            <w:bottom w:w="0" w:type="dxa"/>
            <w:right w:w="108" w:type="dxa"/>
          </w:tblCellMar>
        </w:tblPrEx>
        <w:trPr>
          <w:trHeight w:val="1305" w:hRule="atLeast"/>
        </w:trPr>
        <w:tc>
          <w:tcPr>
            <w:tcW w:w="533" w:type="pct"/>
            <w:tcBorders>
              <w:top w:val="single" w:color="auto" w:sz="4" w:space="0"/>
              <w:left w:val="single" w:color="auto" w:sz="8" w:space="0"/>
              <w:bottom w:val="single" w:color="auto" w:sz="4" w:space="0"/>
              <w:right w:val="single" w:color="auto" w:sz="8" w:space="0"/>
            </w:tcBorders>
            <w:noWrap w:val="0"/>
            <w:vAlign w:val="center"/>
          </w:tcPr>
          <w:p w14:paraId="42774F2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23" w:type="pct"/>
            <w:tcBorders>
              <w:top w:val="single" w:color="auto" w:sz="4" w:space="0"/>
              <w:left w:val="nil"/>
              <w:bottom w:val="single" w:color="auto" w:sz="4" w:space="0"/>
              <w:right w:val="single" w:color="auto" w:sz="8" w:space="0"/>
            </w:tcBorders>
            <w:noWrap w:val="0"/>
            <w:vAlign w:val="center"/>
          </w:tcPr>
          <w:p w14:paraId="4C99975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定海路98号（城市物流三期）LCP制模车间二</w:t>
            </w:r>
          </w:p>
        </w:tc>
        <w:tc>
          <w:tcPr>
            <w:tcW w:w="590" w:type="pct"/>
            <w:tcBorders>
              <w:top w:val="single" w:color="auto" w:sz="4" w:space="0"/>
              <w:left w:val="nil"/>
              <w:bottom w:val="single" w:color="auto" w:sz="4" w:space="0"/>
              <w:right w:val="single" w:color="auto" w:sz="8" w:space="0"/>
            </w:tcBorders>
            <w:noWrap w:val="0"/>
            <w:vAlign w:val="center"/>
          </w:tcPr>
          <w:p w14:paraId="47CB595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车间</w:t>
            </w:r>
          </w:p>
        </w:tc>
        <w:tc>
          <w:tcPr>
            <w:tcW w:w="697" w:type="pct"/>
            <w:tcBorders>
              <w:top w:val="single" w:color="auto" w:sz="4" w:space="0"/>
              <w:left w:val="nil"/>
              <w:bottom w:val="single" w:color="auto" w:sz="4" w:space="0"/>
              <w:right w:val="single" w:color="auto" w:sz="8" w:space="0"/>
            </w:tcBorders>
            <w:noWrap w:val="0"/>
            <w:vAlign w:val="center"/>
          </w:tcPr>
          <w:p w14:paraId="3F01455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7009.953</w:t>
            </w:r>
          </w:p>
        </w:tc>
        <w:tc>
          <w:tcPr>
            <w:tcW w:w="827" w:type="pct"/>
            <w:tcBorders>
              <w:top w:val="single" w:color="auto" w:sz="4" w:space="0"/>
              <w:left w:val="nil"/>
              <w:bottom w:val="single" w:color="auto" w:sz="4" w:space="0"/>
              <w:right w:val="single" w:color="auto" w:sz="8" w:space="0"/>
            </w:tcBorders>
            <w:noWrap w:val="0"/>
            <w:vAlign w:val="center"/>
          </w:tcPr>
          <w:p w14:paraId="44162853">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SA"/>
              </w:rPr>
              <w:t>1688700</w:t>
            </w:r>
          </w:p>
        </w:tc>
        <w:tc>
          <w:tcPr>
            <w:tcW w:w="722" w:type="pct"/>
            <w:tcBorders>
              <w:top w:val="single" w:color="auto" w:sz="4" w:space="0"/>
              <w:left w:val="nil"/>
              <w:bottom w:val="single" w:color="auto" w:sz="4" w:space="0"/>
              <w:right w:val="nil"/>
            </w:tcBorders>
            <w:noWrap w:val="0"/>
            <w:vAlign w:val="center"/>
          </w:tcPr>
          <w:p w14:paraId="535D14E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504" w:type="pct"/>
            <w:tcBorders>
              <w:top w:val="single" w:color="auto" w:sz="4" w:space="0"/>
              <w:left w:val="single" w:color="auto" w:sz="4" w:space="0"/>
              <w:bottom w:val="single" w:color="auto" w:sz="4" w:space="0"/>
              <w:right w:val="single" w:color="auto" w:sz="4" w:space="0"/>
            </w:tcBorders>
            <w:noWrap w:val="0"/>
            <w:vAlign w:val="center"/>
          </w:tcPr>
          <w:p w14:paraId="32231A9B">
            <w:pPr>
              <w:widowControl/>
              <w:jc w:val="center"/>
              <w:rPr>
                <w:rFonts w:hint="default" w:ascii="宋体" w:hAnsi="宋体" w:cs="宋体"/>
                <w:color w:val="000000"/>
                <w:kern w:val="0"/>
                <w:sz w:val="21"/>
                <w:szCs w:val="21"/>
                <w:highlight w:val="none"/>
                <w:lang w:val="en-US"/>
              </w:rPr>
            </w:pPr>
            <w:r>
              <w:rPr>
                <w:rFonts w:hint="eastAsia" w:ascii="宋体" w:hAnsi="宋体" w:cs="宋体"/>
                <w:color w:val="000000"/>
                <w:kern w:val="0"/>
                <w:sz w:val="21"/>
                <w:szCs w:val="21"/>
                <w:highlight w:val="none"/>
                <w:lang w:val="en-US" w:eastAsia="zh-CN"/>
              </w:rPr>
              <w:t>3年</w:t>
            </w:r>
          </w:p>
        </w:tc>
      </w:tr>
    </w:tbl>
    <w:p w14:paraId="2BC25872">
      <w:pPr>
        <w:pStyle w:val="13"/>
        <w:numPr>
          <w:ilvl w:val="0"/>
          <w:numId w:val="0"/>
        </w:numPr>
        <w:spacing w:line="440" w:lineRule="exact"/>
        <w:ind w:firstLine="482" w:firstLineChars="200"/>
        <w:rPr>
          <w:rFonts w:hint="eastAsia" w:ascii="宋体" w:hAnsi="宋体"/>
          <w:b/>
          <w:color w:val="auto"/>
          <w:sz w:val="24"/>
          <w:szCs w:val="24"/>
          <w:lang w:val="en-US" w:eastAsia="zh-CN"/>
        </w:rPr>
      </w:pPr>
      <w:r>
        <w:rPr>
          <w:rFonts w:hint="eastAsia" w:ascii="宋体" w:hAnsi="宋体"/>
          <w:b/>
          <w:color w:val="auto"/>
          <w:sz w:val="24"/>
          <w:szCs w:val="24"/>
          <w:lang w:val="en-US" w:eastAsia="zh-CN"/>
        </w:rPr>
        <w:t>出租标的基本情况：</w:t>
      </w:r>
    </w:p>
    <w:p w14:paraId="6FECA83A">
      <w:pPr>
        <w:pStyle w:val="13"/>
        <w:numPr>
          <w:ilvl w:val="0"/>
          <w:numId w:val="0"/>
        </w:numPr>
        <w:spacing w:line="440" w:lineRule="exact"/>
        <w:ind w:firstLine="482" w:firstLineChars="200"/>
        <w:rPr>
          <w:rFonts w:hint="eastAsia" w:ascii="宋体" w:hAnsi="宋体" w:cs="宋体"/>
          <w:b/>
          <w:color w:val="FF0000"/>
          <w:sz w:val="24"/>
          <w:szCs w:val="24"/>
          <w:lang w:val="en-US" w:eastAsia="zh-CN"/>
        </w:rPr>
      </w:pPr>
      <w:r>
        <w:rPr>
          <w:rFonts w:hint="eastAsia" w:ascii="宋体" w:hAnsi="宋体" w:cs="宋体"/>
          <w:b/>
          <w:color w:val="FF0000"/>
          <w:sz w:val="24"/>
          <w:szCs w:val="24"/>
          <w:lang w:val="en-US" w:eastAsia="zh-CN"/>
        </w:rPr>
        <w:t>1、出租标的层高11米，楼层载重3吨，性质为丙级车间，防火等级丙二类，厂房门宽/高宽4.5米/高3.9米。具体以实地看样为准。</w:t>
      </w:r>
    </w:p>
    <w:p w14:paraId="4DC4BD32">
      <w:pPr>
        <w:pStyle w:val="13"/>
        <w:numPr>
          <w:ilvl w:val="0"/>
          <w:numId w:val="0"/>
        </w:numPr>
        <w:spacing w:line="440" w:lineRule="exact"/>
        <w:ind w:firstLine="482" w:firstLineChars="200"/>
        <w:rPr>
          <w:rFonts w:hint="eastAsia" w:ascii="宋体" w:hAnsi="宋体"/>
          <w:b/>
          <w:color w:val="FF0000"/>
          <w:sz w:val="24"/>
          <w:szCs w:val="24"/>
          <w:lang w:val="en-US" w:eastAsia="zh-CN"/>
        </w:rPr>
      </w:pPr>
      <w:r>
        <w:rPr>
          <w:rFonts w:hint="eastAsia" w:ascii="宋体" w:hAnsi="宋体" w:cs="宋体"/>
          <w:b/>
          <w:color w:val="FF0000"/>
          <w:sz w:val="24"/>
          <w:szCs w:val="24"/>
          <w:lang w:val="en-US" w:eastAsia="zh-CN"/>
        </w:rPr>
        <w:t>2、</w:t>
      </w:r>
      <w:r>
        <w:rPr>
          <w:rFonts w:hint="eastAsia" w:ascii="宋体" w:hAnsi="宋体" w:cs="宋体"/>
          <w:b/>
          <w:color w:val="FF0000"/>
          <w:sz w:val="24"/>
          <w:szCs w:val="24"/>
        </w:rPr>
        <w:t>买受人（承租人）</w:t>
      </w:r>
      <w:r>
        <w:rPr>
          <w:rFonts w:hint="eastAsia" w:ascii="宋体" w:hAnsi="宋体"/>
          <w:b/>
          <w:color w:val="FF0000"/>
          <w:sz w:val="24"/>
          <w:szCs w:val="24"/>
          <w:lang w:val="en-US" w:eastAsia="zh-CN"/>
        </w:rPr>
        <w:t>如需对车间进行改造，须委托有资质的设计单位出具改造方案，方案须经</w:t>
      </w:r>
      <w:r>
        <w:rPr>
          <w:rFonts w:hint="eastAsia"/>
          <w:b/>
          <w:color w:val="FF0000"/>
          <w:sz w:val="24"/>
        </w:rPr>
        <w:t>委托人（出租人）</w:t>
      </w:r>
      <w:r>
        <w:rPr>
          <w:rFonts w:hint="eastAsia" w:ascii="宋体" w:hAnsi="宋体"/>
          <w:b/>
          <w:color w:val="FF0000"/>
          <w:sz w:val="24"/>
          <w:szCs w:val="24"/>
          <w:lang w:val="en-US" w:eastAsia="zh-CN"/>
        </w:rPr>
        <w:t>书面同意后方可实施。</w:t>
      </w:r>
    </w:p>
    <w:p w14:paraId="1A28F505">
      <w:pPr>
        <w:pStyle w:val="13"/>
        <w:numPr>
          <w:ilvl w:val="0"/>
          <w:numId w:val="0"/>
        </w:numPr>
        <w:spacing w:line="440" w:lineRule="exact"/>
        <w:ind w:firstLine="482" w:firstLineChars="200"/>
        <w:rPr>
          <w:rFonts w:hint="eastAsia" w:ascii="宋体" w:hAnsi="宋体" w:eastAsia="宋体" w:cs="宋体"/>
          <w:b/>
          <w:color w:val="FF0000"/>
          <w:kern w:val="2"/>
          <w:sz w:val="24"/>
          <w:szCs w:val="24"/>
          <w:lang w:val="en-US" w:eastAsia="zh-CN" w:bidi="ar-SA"/>
        </w:rPr>
      </w:pPr>
      <w:r>
        <w:rPr>
          <w:rFonts w:hint="eastAsia" w:ascii="宋体" w:hAnsi="宋体" w:cs="宋体"/>
          <w:b/>
          <w:color w:val="FF0000"/>
          <w:kern w:val="2"/>
          <w:sz w:val="24"/>
          <w:szCs w:val="24"/>
          <w:lang w:val="en-US" w:eastAsia="zh-CN" w:bidi="ar-SA"/>
        </w:rPr>
        <w:t>3、</w:t>
      </w:r>
      <w:r>
        <w:rPr>
          <w:rFonts w:hint="eastAsia" w:ascii="宋体" w:hAnsi="宋体" w:eastAsia="宋体" w:cs="宋体"/>
          <w:b/>
          <w:color w:val="FF0000"/>
          <w:kern w:val="2"/>
          <w:sz w:val="24"/>
          <w:szCs w:val="24"/>
          <w:lang w:val="en-US" w:eastAsia="zh-CN" w:bidi="ar-SA"/>
        </w:rPr>
        <w:t>车间</w:t>
      </w:r>
      <w:r>
        <w:rPr>
          <w:rFonts w:hint="eastAsia" w:ascii="宋体" w:hAnsi="宋体" w:cs="宋体"/>
          <w:b/>
          <w:color w:val="FF0000"/>
          <w:sz w:val="24"/>
          <w:szCs w:val="24"/>
          <w:lang w:val="en-US" w:eastAsia="zh-CN"/>
        </w:rPr>
        <w:t>用电</w:t>
      </w:r>
      <w:r>
        <w:rPr>
          <w:rFonts w:hint="eastAsia" w:ascii="宋体" w:hAnsi="宋体" w:eastAsia="宋体" w:cs="宋体"/>
          <w:b/>
          <w:color w:val="FF0000"/>
          <w:kern w:val="2"/>
          <w:sz w:val="24"/>
          <w:szCs w:val="24"/>
          <w:lang w:val="en-US" w:eastAsia="zh-CN" w:bidi="ar-SA"/>
        </w:rPr>
        <w:t>设施按现状交付使用。如需增容或线路改造，由</w:t>
      </w:r>
      <w:r>
        <w:rPr>
          <w:rFonts w:hint="eastAsia" w:ascii="宋体" w:hAnsi="宋体" w:cs="宋体"/>
          <w:b/>
          <w:color w:val="FF0000"/>
          <w:sz w:val="24"/>
          <w:szCs w:val="24"/>
        </w:rPr>
        <w:t>买受人（承租人）</w:t>
      </w:r>
      <w:r>
        <w:rPr>
          <w:rFonts w:hint="eastAsia" w:ascii="宋体" w:hAnsi="宋体" w:eastAsia="宋体" w:cs="宋体"/>
          <w:b/>
          <w:color w:val="FF0000"/>
          <w:kern w:val="2"/>
          <w:sz w:val="24"/>
          <w:szCs w:val="24"/>
          <w:lang w:val="en-US" w:eastAsia="zh-CN" w:bidi="ar-SA"/>
        </w:rPr>
        <w:t>自行申报并承担全部费用，改造方案须经有资质单位确认并报</w:t>
      </w:r>
      <w:r>
        <w:rPr>
          <w:rFonts w:hint="eastAsia"/>
          <w:b/>
          <w:color w:val="FF0000"/>
          <w:sz w:val="24"/>
        </w:rPr>
        <w:t>委托人（出租人）</w:t>
      </w:r>
      <w:r>
        <w:rPr>
          <w:rFonts w:hint="eastAsia" w:ascii="宋体" w:hAnsi="宋体" w:eastAsia="宋体" w:cs="宋体"/>
          <w:b/>
          <w:color w:val="FF0000"/>
          <w:kern w:val="2"/>
          <w:sz w:val="24"/>
          <w:szCs w:val="24"/>
          <w:lang w:val="en-US" w:eastAsia="zh-CN" w:bidi="ar-SA"/>
        </w:rPr>
        <w:t>同意。</w:t>
      </w:r>
    </w:p>
    <w:p w14:paraId="061076D5">
      <w:pPr>
        <w:pStyle w:val="13"/>
        <w:numPr>
          <w:ilvl w:val="0"/>
          <w:numId w:val="0"/>
        </w:numPr>
        <w:spacing w:line="440" w:lineRule="exact"/>
        <w:ind w:firstLine="482" w:firstLineChars="200"/>
        <w:rPr>
          <w:rFonts w:hint="eastAsia" w:ascii="宋体" w:hAnsi="宋体" w:eastAsia="宋体" w:cs="宋体"/>
          <w:b/>
          <w:color w:val="FF0000"/>
          <w:kern w:val="2"/>
          <w:sz w:val="24"/>
          <w:szCs w:val="24"/>
          <w:lang w:val="en-US" w:eastAsia="zh-CN" w:bidi="ar-SA"/>
        </w:rPr>
      </w:pPr>
      <w:r>
        <w:rPr>
          <w:rFonts w:hint="eastAsia" w:ascii="宋体" w:hAnsi="宋体" w:cs="宋体"/>
          <w:b/>
          <w:color w:val="FF0000"/>
          <w:kern w:val="2"/>
          <w:sz w:val="24"/>
          <w:szCs w:val="24"/>
          <w:lang w:val="en-US" w:eastAsia="zh-CN" w:bidi="ar-SA"/>
        </w:rPr>
        <w:t>4、</w:t>
      </w:r>
      <w:r>
        <w:rPr>
          <w:rFonts w:hint="eastAsia" w:ascii="宋体" w:hAnsi="宋体" w:eastAsia="宋体" w:cs="宋体"/>
          <w:b/>
          <w:color w:val="FF0000"/>
          <w:kern w:val="2"/>
          <w:sz w:val="24"/>
          <w:szCs w:val="24"/>
          <w:lang w:val="en-US" w:eastAsia="zh-CN" w:bidi="ar-SA"/>
        </w:rPr>
        <w:t>安装龙门吊等重型设备，须充分考虑</w:t>
      </w:r>
      <w:r>
        <w:rPr>
          <w:rFonts w:hint="eastAsia" w:ascii="宋体" w:hAnsi="宋体" w:cs="宋体"/>
          <w:b/>
          <w:color w:val="FF0000"/>
          <w:kern w:val="2"/>
          <w:sz w:val="24"/>
          <w:szCs w:val="24"/>
          <w:lang w:val="en-US" w:eastAsia="zh-CN" w:bidi="ar-SA"/>
        </w:rPr>
        <w:t>车间</w:t>
      </w:r>
      <w:r>
        <w:rPr>
          <w:rFonts w:hint="eastAsia" w:ascii="宋体" w:hAnsi="宋体" w:eastAsia="宋体" w:cs="宋体"/>
          <w:b/>
          <w:color w:val="FF0000"/>
          <w:kern w:val="2"/>
          <w:sz w:val="24"/>
          <w:szCs w:val="24"/>
          <w:lang w:val="en-US" w:eastAsia="zh-CN" w:bidi="ar-SA"/>
        </w:rPr>
        <w:t>承重安全。相关检测、使用登记等手续由</w:t>
      </w:r>
      <w:r>
        <w:rPr>
          <w:rFonts w:hint="eastAsia" w:ascii="宋体" w:hAnsi="宋体" w:cs="宋体"/>
          <w:b/>
          <w:color w:val="FF0000"/>
          <w:sz w:val="24"/>
          <w:szCs w:val="24"/>
        </w:rPr>
        <w:t>买受人（承租人）</w:t>
      </w:r>
      <w:r>
        <w:rPr>
          <w:rFonts w:hint="eastAsia" w:ascii="宋体" w:hAnsi="宋体" w:eastAsia="宋体" w:cs="宋体"/>
          <w:b/>
          <w:color w:val="FF0000"/>
          <w:kern w:val="2"/>
          <w:sz w:val="24"/>
          <w:szCs w:val="24"/>
          <w:lang w:val="en-US" w:eastAsia="zh-CN" w:bidi="ar-SA"/>
        </w:rPr>
        <w:t>自行办理，费用自理，方案须经</w:t>
      </w:r>
      <w:r>
        <w:rPr>
          <w:rFonts w:hint="eastAsia"/>
          <w:b/>
          <w:color w:val="FF0000"/>
          <w:sz w:val="24"/>
        </w:rPr>
        <w:t>委托人（出租人）</w:t>
      </w:r>
      <w:r>
        <w:rPr>
          <w:rFonts w:hint="eastAsia" w:ascii="宋体" w:hAnsi="宋体" w:eastAsia="宋体" w:cs="宋体"/>
          <w:b/>
          <w:color w:val="FF0000"/>
          <w:kern w:val="2"/>
          <w:sz w:val="24"/>
          <w:szCs w:val="24"/>
          <w:lang w:val="en-US" w:eastAsia="zh-CN" w:bidi="ar-SA"/>
        </w:rPr>
        <w:t>书面同意。</w:t>
      </w:r>
    </w:p>
    <w:p w14:paraId="214C5F13">
      <w:pPr>
        <w:pStyle w:val="13"/>
        <w:numPr>
          <w:ilvl w:val="0"/>
          <w:numId w:val="0"/>
        </w:numPr>
        <w:spacing w:line="440" w:lineRule="exact"/>
        <w:ind w:firstLine="482" w:firstLineChars="200"/>
        <w:rPr>
          <w:rFonts w:hint="default" w:ascii="宋体" w:hAnsi="宋体"/>
          <w:b/>
          <w:color w:val="auto"/>
          <w:sz w:val="24"/>
          <w:szCs w:val="24"/>
          <w:lang w:val="en-US" w:eastAsia="zh-CN"/>
        </w:rPr>
      </w:pPr>
      <w:r>
        <w:rPr>
          <w:rFonts w:hint="eastAsia" w:ascii="宋体" w:hAnsi="宋体" w:eastAsia="宋体" w:cs="宋体"/>
          <w:b/>
          <w:color w:val="FF0000"/>
          <w:kern w:val="2"/>
          <w:sz w:val="24"/>
          <w:szCs w:val="24"/>
          <w:lang w:val="en-US" w:eastAsia="zh-CN" w:bidi="ar-SA"/>
        </w:rPr>
        <w:t>5、</w:t>
      </w:r>
      <w:r>
        <w:rPr>
          <w:rFonts w:hint="eastAsia" w:ascii="宋体" w:hAnsi="宋体" w:cs="宋体"/>
          <w:b/>
          <w:color w:val="FF0000"/>
          <w:kern w:val="2"/>
          <w:sz w:val="24"/>
          <w:szCs w:val="24"/>
          <w:lang w:val="en-US" w:eastAsia="zh-CN" w:bidi="ar-SA"/>
        </w:rPr>
        <w:t>门卫</w:t>
      </w:r>
      <w:r>
        <w:rPr>
          <w:rFonts w:hint="eastAsia" w:ascii="宋体" w:hAnsi="宋体" w:eastAsia="宋体" w:cs="宋体"/>
          <w:b/>
          <w:color w:val="FF0000"/>
          <w:kern w:val="2"/>
          <w:sz w:val="24"/>
          <w:szCs w:val="24"/>
          <w:lang w:val="en-US" w:eastAsia="zh-CN" w:bidi="ar-SA"/>
        </w:rPr>
        <w:t>及园区日常管理等事务，由</w:t>
      </w:r>
      <w:r>
        <w:rPr>
          <w:rFonts w:hint="eastAsia" w:ascii="宋体" w:hAnsi="宋体" w:cs="宋体"/>
          <w:b/>
          <w:color w:val="FF0000"/>
          <w:sz w:val="24"/>
          <w:szCs w:val="24"/>
        </w:rPr>
        <w:t>买受人（承租人）</w:t>
      </w:r>
      <w:r>
        <w:rPr>
          <w:rFonts w:hint="eastAsia" w:ascii="宋体" w:hAnsi="宋体" w:eastAsia="宋体" w:cs="宋体"/>
          <w:b/>
          <w:color w:val="FF0000"/>
          <w:kern w:val="2"/>
          <w:sz w:val="24"/>
          <w:szCs w:val="24"/>
          <w:lang w:val="en-US" w:eastAsia="zh-CN" w:bidi="ar-SA"/>
        </w:rPr>
        <w:t>与园区内其他承租方自行协商解决，与</w:t>
      </w:r>
      <w:r>
        <w:rPr>
          <w:rFonts w:hint="eastAsia"/>
          <w:b/>
          <w:color w:val="FF0000"/>
          <w:sz w:val="24"/>
        </w:rPr>
        <w:t>委托人（出租人）</w:t>
      </w:r>
      <w:r>
        <w:rPr>
          <w:rFonts w:hint="eastAsia" w:ascii="宋体" w:hAnsi="宋体" w:cs="宋体"/>
          <w:b/>
          <w:color w:val="FF0000"/>
          <w:sz w:val="24"/>
          <w:szCs w:val="24"/>
          <w:lang w:val="en-US" w:eastAsia="zh-CN"/>
        </w:rPr>
        <w:t>无关。园区内公共场地的具体使用范围，以</w:t>
      </w:r>
      <w:r>
        <w:rPr>
          <w:rFonts w:hint="eastAsia"/>
          <w:b/>
          <w:color w:val="FF0000"/>
          <w:sz w:val="24"/>
        </w:rPr>
        <w:t>委托人（出租人）</w:t>
      </w:r>
      <w:r>
        <w:rPr>
          <w:rFonts w:hint="eastAsia" w:ascii="宋体" w:hAnsi="宋体" w:cs="宋体"/>
          <w:b/>
          <w:color w:val="FF0000"/>
          <w:sz w:val="24"/>
          <w:szCs w:val="24"/>
          <w:lang w:val="en-US" w:eastAsia="zh-CN"/>
        </w:rPr>
        <w:t>现场实际交付时的状况为准。</w:t>
      </w:r>
    </w:p>
    <w:p w14:paraId="7F154EEB">
      <w:pPr>
        <w:spacing w:line="420" w:lineRule="exact"/>
        <w:ind w:firstLine="482" w:firstLineChars="200"/>
        <w:rPr>
          <w:rFonts w:hint="eastAsia" w:ascii="宋体" w:hAnsi="宋体"/>
          <w:b/>
          <w:color w:val="auto"/>
          <w:sz w:val="24"/>
          <w:szCs w:val="24"/>
          <w:lang w:val="en-US" w:eastAsia="zh-CN"/>
        </w:rPr>
      </w:pPr>
      <w:r>
        <w:rPr>
          <w:rFonts w:hint="eastAsia" w:ascii="宋体" w:hAnsi="宋体"/>
          <w:b/>
          <w:color w:val="auto"/>
          <w:sz w:val="24"/>
          <w:szCs w:val="24"/>
          <w:lang w:val="en-US" w:eastAsia="zh-CN"/>
        </w:rPr>
        <w:t xml:space="preserve">  特别提醒：</w:t>
      </w:r>
    </w:p>
    <w:p w14:paraId="2B6FB650">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标的使用须符合车间标准的法律法规进行使用。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68DDC77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4D2B424">
      <w:pPr>
        <w:numPr>
          <w:ilvl w:val="0"/>
          <w:numId w:val="0"/>
        </w:numPr>
        <w:spacing w:line="420" w:lineRule="exact"/>
        <w:ind w:firstLine="482" w:firstLineChars="200"/>
        <w:rPr>
          <w:rFonts w:hint="default" w:ascii="宋体" w:hAnsi="宋体"/>
          <w:b/>
          <w:color w:val="auto"/>
          <w:sz w:val="24"/>
          <w:szCs w:val="24"/>
          <w:lang w:val="en-US" w:eastAsia="zh-CN"/>
        </w:rPr>
      </w:pPr>
      <w:r>
        <w:rPr>
          <w:rFonts w:hint="eastAsia" w:ascii="宋体" w:hAnsi="宋体" w:cs="宋体"/>
          <w:b/>
          <w:color w:val="auto"/>
          <w:sz w:val="24"/>
          <w:szCs w:val="24"/>
          <w:lang w:val="en-US" w:eastAsia="zh-CN"/>
        </w:rPr>
        <w:t>3、</w:t>
      </w:r>
      <w:r>
        <w:rPr>
          <w:rFonts w:hint="eastAsia" w:ascii="宋体" w:hAnsi="宋体"/>
          <w:b/>
          <w:color w:val="auto"/>
          <w:sz w:val="24"/>
          <w:szCs w:val="24"/>
          <w:lang w:val="en-US" w:eastAsia="zh-CN"/>
        </w:rPr>
        <w:t>车间不得存放易燃易爆品、危险化学品等，不能产生噪音、污染物等不符合当地政府要求的排放物，不得进行法律、法规禁止的其他活动。</w:t>
      </w:r>
      <w:r>
        <w:rPr>
          <w:rFonts w:hint="eastAsia" w:ascii="宋体" w:hAnsi="宋体" w:eastAsia="宋体" w:cs="宋体"/>
          <w:b/>
          <w:color w:val="auto"/>
          <w:sz w:val="24"/>
          <w:szCs w:val="24"/>
          <w:lang w:val="en-US" w:eastAsia="zh-CN"/>
        </w:rPr>
        <w:t>如发现违反该标的房屋用途</w:t>
      </w:r>
      <w:r>
        <w:rPr>
          <w:rFonts w:hint="eastAsia" w:ascii="宋体" w:hAnsi="宋体" w:cs="宋体"/>
          <w:b/>
          <w:color w:val="auto"/>
          <w:sz w:val="24"/>
          <w:szCs w:val="24"/>
          <w:lang w:val="en-US" w:eastAsia="zh-CN"/>
        </w:rPr>
        <w:t>规定</w:t>
      </w:r>
      <w:r>
        <w:rPr>
          <w:rFonts w:hint="eastAsia" w:ascii="宋体" w:hAnsi="宋体" w:eastAsia="宋体" w:cs="宋体"/>
          <w:b/>
          <w:color w:val="auto"/>
          <w:sz w:val="24"/>
          <w:szCs w:val="24"/>
          <w:lang w:val="en-US" w:eastAsia="zh-CN"/>
        </w:rPr>
        <w:t>的视为违约，委托人（出租人）有权无条件收回该标的，履约保证金不予退还。。</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D3A5874">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w:t>
      </w:r>
      <w:bookmarkStart w:id="1" w:name="_GoBack"/>
      <w:bookmarkEnd w:id="1"/>
      <w:r>
        <w:rPr>
          <w:rFonts w:hint="eastAsia" w:ascii="宋体" w:hAnsi="宋体" w:eastAsia="宋体" w:cs="宋体"/>
          <w:color w:val="auto"/>
          <w:sz w:val="24"/>
          <w:szCs w:val="24"/>
        </w:rPr>
        <w:t>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spacing w:line="400" w:lineRule="exact"/>
        <w:ind w:firstLine="464" w:firstLineChars="200"/>
        <w:jc w:val="left"/>
        <w:rPr>
          <w:rFonts w:hint="eastAsia" w:ascii="宋体" w:hAnsi="宋体" w:eastAsia="宋体" w:cs="宋体"/>
          <w:bCs/>
          <w:color w:val="000000"/>
          <w:kern w:val="0"/>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w:t>
      </w:r>
      <w:r>
        <w:rPr>
          <w:rFonts w:hint="eastAsia" w:ascii="宋体" w:hAnsi="宋体" w:eastAsia="宋体" w:cs="宋体"/>
          <w:bCs/>
          <w:color w:val="000000"/>
          <w:kern w:val="0"/>
          <w:sz w:val="24"/>
          <w:szCs w:val="24"/>
          <w:lang w:val="en-US" w:eastAsia="zh-CN" w:bidi="ar-SA"/>
        </w:rPr>
        <w:t>受人（承租人）应于7个工作日内签订《房屋租赁合同》，并于《房屋租赁合同》签订之日起7个工作日内将首期租金及履约保证金（履约保证金为20万元）直接付至委托人指定账户名称：宁波市镇海区城市物流开发有限公司 ，开户行：中国建设银行宁波市镇海区支行，账号：33101984036050513724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状态为空置</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bCs/>
          <w:color w:val="auto"/>
          <w:kern w:val="2"/>
          <w:sz w:val="24"/>
          <w:szCs w:val="22"/>
          <w:lang w:val="en-US" w:eastAsia="zh-CN" w:bidi="ar-SA"/>
        </w:rPr>
        <w:t>房屋租赁合同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03B32F3E">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日</w:t>
      </w:r>
    </w:p>
    <w:p w14:paraId="6CA59122">
      <w:pPr>
        <w:jc w:val="left"/>
        <w:rPr>
          <w:rFonts w:ascii="方正小标宋简体" w:hAnsi="方正小标宋简体" w:eastAsia="方正小标宋简体"/>
          <w:sz w:val="44"/>
          <w:szCs w:val="44"/>
        </w:rPr>
      </w:pPr>
      <w:r>
        <w:rPr>
          <w:rFonts w:hint="eastAsia" w:ascii="黑体" w:hAnsi="黑体" w:eastAsia="黑体" w:cs="黑体"/>
          <w:b/>
          <w:bCs/>
          <w:sz w:val="30"/>
          <w:szCs w:val="30"/>
        </w:rPr>
        <w:t>附件：</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w:t>
      </w:r>
      <w:r>
        <w:rPr>
          <w:rFonts w:hint="eastAsia" w:ascii="仿宋_GB2312" w:hAnsi="仿宋" w:eastAsia="仿宋_GB2312"/>
          <w:sz w:val="32"/>
          <w:szCs w:val="32"/>
          <w:lang w:val="en-US" w:eastAsia="zh-CN"/>
        </w:rPr>
        <w:t>定海东路505</w:t>
      </w:r>
      <w:r>
        <w:rPr>
          <w:rFonts w:hint="eastAsia" w:ascii="仿宋_GB2312" w:hAnsi="仿宋" w:eastAsia="仿宋_GB2312"/>
          <w:sz w:val="32"/>
          <w:szCs w:val="32"/>
        </w:rPr>
        <w:t>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sz w:val="32"/>
          <w:szCs w:val="32"/>
        </w:rPr>
        <w:t>单位名称：</w:t>
      </w:r>
      <w:r>
        <w:rPr>
          <w:rFonts w:hint="eastAsia" w:ascii="仿宋_GB2312" w:hAnsi="仿宋" w:eastAsia="仿宋_GB2312"/>
          <w:color w:val="000000"/>
          <w:sz w:val="32"/>
          <w:szCs w:val="32"/>
          <w:lang w:eastAsia="zh-CN"/>
        </w:rPr>
        <w:t>宁波市镇海区城市物流开发有限公司</w:t>
      </w:r>
      <w:r>
        <w:rPr>
          <w:rFonts w:hint="eastAsia" w:ascii="仿宋_GB2312" w:hAnsi="仿宋" w:eastAsia="仿宋_GB2312"/>
          <w:color w:val="000000"/>
          <w:sz w:val="32"/>
          <w:szCs w:val="32"/>
          <w:lang w:val="en-US" w:eastAsia="zh-CN"/>
        </w:rPr>
        <w:t xml:space="preserve"> </w:t>
      </w:r>
    </w:p>
    <w:p w14:paraId="49075668">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开户银行：  </w:t>
      </w:r>
      <w:r>
        <w:rPr>
          <w:rFonts w:hint="eastAsia" w:ascii="仿宋_GB2312" w:hAnsi="仿宋" w:eastAsia="仿宋_GB2312"/>
          <w:color w:val="000000"/>
          <w:sz w:val="32"/>
          <w:szCs w:val="32"/>
          <w:lang w:val="en-US" w:eastAsia="zh-CN"/>
        </w:rPr>
        <w:t>中国建设银行宁波市镇海区支行</w:t>
      </w:r>
    </w:p>
    <w:p w14:paraId="1FB048A2">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开户账号：</w:t>
      </w:r>
      <w:r>
        <w:rPr>
          <w:rFonts w:hint="eastAsia" w:ascii="仿宋_GB2312" w:hAnsi="仿宋" w:eastAsia="仿宋_GB2312"/>
          <w:color w:val="000000"/>
          <w:sz w:val="32"/>
          <w:szCs w:val="32"/>
          <w:lang w:val="en-US" w:eastAsia="zh-CN"/>
        </w:rPr>
        <w:t>33101984036050513724</w:t>
      </w:r>
    </w:p>
    <w:p w14:paraId="48DF2DA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6"/>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7"/>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p w14:paraId="7EBB2BF1">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A877A2"/>
    <w:rsid w:val="01E90844"/>
    <w:rsid w:val="04CC48A5"/>
    <w:rsid w:val="04E8159A"/>
    <w:rsid w:val="06674E4D"/>
    <w:rsid w:val="07724E37"/>
    <w:rsid w:val="078C6EA6"/>
    <w:rsid w:val="082C148A"/>
    <w:rsid w:val="0A456833"/>
    <w:rsid w:val="0ADA341F"/>
    <w:rsid w:val="0B2226D0"/>
    <w:rsid w:val="0BE45BD8"/>
    <w:rsid w:val="0C654F6B"/>
    <w:rsid w:val="0C9E047D"/>
    <w:rsid w:val="0F19713A"/>
    <w:rsid w:val="0F45621F"/>
    <w:rsid w:val="10545E2A"/>
    <w:rsid w:val="113D0264"/>
    <w:rsid w:val="116C0B49"/>
    <w:rsid w:val="120945EA"/>
    <w:rsid w:val="13541895"/>
    <w:rsid w:val="13E40E6B"/>
    <w:rsid w:val="1474379C"/>
    <w:rsid w:val="15565D98"/>
    <w:rsid w:val="15DB629E"/>
    <w:rsid w:val="15EC3809"/>
    <w:rsid w:val="163F682C"/>
    <w:rsid w:val="1673687F"/>
    <w:rsid w:val="171B2DF6"/>
    <w:rsid w:val="17C36FE9"/>
    <w:rsid w:val="183A35E1"/>
    <w:rsid w:val="1E1B192D"/>
    <w:rsid w:val="2149055F"/>
    <w:rsid w:val="228A7081"/>
    <w:rsid w:val="23AB3753"/>
    <w:rsid w:val="23AC639B"/>
    <w:rsid w:val="248C5333"/>
    <w:rsid w:val="2CC24314"/>
    <w:rsid w:val="2ED40E54"/>
    <w:rsid w:val="2F6173BC"/>
    <w:rsid w:val="317433D6"/>
    <w:rsid w:val="31C537E2"/>
    <w:rsid w:val="3244724D"/>
    <w:rsid w:val="324C7EAF"/>
    <w:rsid w:val="332D7CE1"/>
    <w:rsid w:val="34AA6116"/>
    <w:rsid w:val="36BB5604"/>
    <w:rsid w:val="37226BB3"/>
    <w:rsid w:val="389425B0"/>
    <w:rsid w:val="393A53ED"/>
    <w:rsid w:val="3A667F7C"/>
    <w:rsid w:val="3A6B10EF"/>
    <w:rsid w:val="3DC54FBA"/>
    <w:rsid w:val="3EC62D97"/>
    <w:rsid w:val="3ED216D9"/>
    <w:rsid w:val="407B3020"/>
    <w:rsid w:val="413C53D0"/>
    <w:rsid w:val="41D34149"/>
    <w:rsid w:val="41DF4BEC"/>
    <w:rsid w:val="43340C18"/>
    <w:rsid w:val="43F3462F"/>
    <w:rsid w:val="45DB1ABC"/>
    <w:rsid w:val="48BB76E5"/>
    <w:rsid w:val="48CC36A0"/>
    <w:rsid w:val="495C4A24"/>
    <w:rsid w:val="4A687422"/>
    <w:rsid w:val="4EFF199E"/>
    <w:rsid w:val="517F670C"/>
    <w:rsid w:val="51850890"/>
    <w:rsid w:val="53DB6E8D"/>
    <w:rsid w:val="54A2107A"/>
    <w:rsid w:val="56102E1E"/>
    <w:rsid w:val="567A473C"/>
    <w:rsid w:val="58CB5722"/>
    <w:rsid w:val="5E425E33"/>
    <w:rsid w:val="5F772160"/>
    <w:rsid w:val="60DB227B"/>
    <w:rsid w:val="62BB05B6"/>
    <w:rsid w:val="633839B4"/>
    <w:rsid w:val="63A32D5E"/>
    <w:rsid w:val="63AF3E84"/>
    <w:rsid w:val="63D657AA"/>
    <w:rsid w:val="65A17F37"/>
    <w:rsid w:val="664D59C9"/>
    <w:rsid w:val="674B36FC"/>
    <w:rsid w:val="69FA5E67"/>
    <w:rsid w:val="6B2375FA"/>
    <w:rsid w:val="6CE40709"/>
    <w:rsid w:val="6EA840E4"/>
    <w:rsid w:val="72FD2525"/>
    <w:rsid w:val="73F92CEC"/>
    <w:rsid w:val="750D1C16"/>
    <w:rsid w:val="75545F0B"/>
    <w:rsid w:val="795D3D1D"/>
    <w:rsid w:val="79A96F62"/>
    <w:rsid w:val="79F91C98"/>
    <w:rsid w:val="79FD2E0A"/>
    <w:rsid w:val="7A0847C2"/>
    <w:rsid w:val="7A15284A"/>
    <w:rsid w:val="7AC96886"/>
    <w:rsid w:val="7D935F5F"/>
    <w:rsid w:val="7E584AB3"/>
    <w:rsid w:val="7E5971A9"/>
    <w:rsid w:val="7F315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9308</Words>
  <Characters>9571</Characters>
  <Lines>0</Lines>
  <Paragraphs>0</Paragraphs>
  <TotalTime>0</TotalTime>
  <ScaleCrop>false</ScaleCrop>
  <LinksUpToDate>false</LinksUpToDate>
  <CharactersWithSpaces>10101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2026-08-11T06:25:55Z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